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DD84B" w14:textId="1A4E5D13" w:rsidR="005C70A9" w:rsidRPr="005C70A9" w:rsidRDefault="005C70A9" w:rsidP="005C70A9">
      <w:pPr>
        <w:pStyle w:val="Default"/>
        <w:spacing w:line="276" w:lineRule="auto"/>
        <w:jc w:val="center"/>
        <w:rPr>
          <w:rFonts w:asciiTheme="minorHAnsi" w:hAnsiTheme="minorHAnsi"/>
          <w:b/>
          <w:bCs/>
          <w:lang w:val="en-GB"/>
        </w:rPr>
      </w:pPr>
      <w:bookmarkStart w:id="0" w:name="_Hlk205307682"/>
      <w:r w:rsidRPr="005C70A9">
        <w:rPr>
          <w:rFonts w:asciiTheme="minorHAnsi" w:hAnsiTheme="minorHAnsi"/>
          <w:b/>
          <w:bCs/>
          <w:lang w:val="en-GB"/>
        </w:rPr>
        <w:t xml:space="preserve">EPPO-REUFIS-BFW </w:t>
      </w:r>
      <w:r w:rsidR="008F523E">
        <w:rPr>
          <w:rFonts w:asciiTheme="minorHAnsi" w:hAnsiTheme="minorHAnsi"/>
          <w:b/>
          <w:bCs/>
          <w:lang w:val="en-GB"/>
        </w:rPr>
        <w:t>C</w:t>
      </w:r>
      <w:r w:rsidR="008F523E" w:rsidRPr="005C70A9">
        <w:rPr>
          <w:rFonts w:asciiTheme="minorHAnsi" w:hAnsiTheme="minorHAnsi"/>
          <w:b/>
          <w:bCs/>
          <w:lang w:val="en-GB"/>
        </w:rPr>
        <w:t xml:space="preserve">onference </w:t>
      </w:r>
    </w:p>
    <w:p w14:paraId="48BF91A2" w14:textId="77777777" w:rsidR="005C70A9" w:rsidRPr="005C70A9" w:rsidRDefault="005C70A9" w:rsidP="005C70A9">
      <w:pPr>
        <w:pStyle w:val="Default"/>
        <w:spacing w:line="276" w:lineRule="auto"/>
        <w:jc w:val="center"/>
        <w:rPr>
          <w:rFonts w:asciiTheme="minorHAnsi" w:hAnsiTheme="minorHAnsi"/>
          <w:b/>
          <w:bCs/>
          <w:lang w:val="en-GB"/>
        </w:rPr>
      </w:pPr>
      <w:r w:rsidRPr="005C70A9">
        <w:rPr>
          <w:rFonts w:asciiTheme="minorHAnsi" w:hAnsiTheme="minorHAnsi"/>
          <w:b/>
          <w:bCs/>
          <w:lang w:val="en-GB"/>
        </w:rPr>
        <w:t xml:space="preserve">‘Safeguarding Forests in Europe: Emerging Risks of </w:t>
      </w:r>
      <w:r w:rsidRPr="005C70A9">
        <w:rPr>
          <w:rFonts w:asciiTheme="minorHAnsi" w:hAnsiTheme="minorHAnsi"/>
          <w:b/>
          <w:bCs/>
          <w:i/>
          <w:iCs/>
          <w:lang w:val="en-GB"/>
        </w:rPr>
        <w:t>Agrilus</w:t>
      </w:r>
      <w:r w:rsidRPr="005C70A9">
        <w:rPr>
          <w:rFonts w:asciiTheme="minorHAnsi" w:hAnsiTheme="minorHAnsi"/>
          <w:b/>
          <w:bCs/>
          <w:lang w:val="en-GB"/>
        </w:rPr>
        <w:t xml:space="preserve"> Wood Borers (Buprestidae</w:t>
      </w:r>
      <w:proofErr w:type="gramStart"/>
      <w:r w:rsidRPr="005C70A9">
        <w:rPr>
          <w:rFonts w:asciiTheme="minorHAnsi" w:hAnsiTheme="minorHAnsi"/>
          <w:b/>
          <w:bCs/>
          <w:lang w:val="en-GB"/>
        </w:rPr>
        <w:t>)‘</w:t>
      </w:r>
      <w:proofErr w:type="gramEnd"/>
    </w:p>
    <w:bookmarkEnd w:id="0"/>
    <w:p w14:paraId="2B0DDFBC" w14:textId="77777777" w:rsidR="005C70A9" w:rsidRDefault="005C70A9" w:rsidP="005C70A9">
      <w:pPr>
        <w:pStyle w:val="Default"/>
        <w:spacing w:line="276" w:lineRule="auto"/>
        <w:jc w:val="center"/>
        <w:rPr>
          <w:rFonts w:asciiTheme="minorHAnsi" w:hAnsiTheme="minorHAnsi"/>
          <w:b/>
          <w:bCs/>
          <w:lang w:val="en-GB"/>
        </w:rPr>
      </w:pPr>
    </w:p>
    <w:p w14:paraId="7842CC44" w14:textId="746C724D" w:rsidR="005C70A9" w:rsidRPr="005C70A9" w:rsidRDefault="005C70A9" w:rsidP="005C70A9">
      <w:pPr>
        <w:pStyle w:val="Default"/>
        <w:spacing w:line="276" w:lineRule="auto"/>
        <w:jc w:val="center"/>
        <w:rPr>
          <w:rFonts w:asciiTheme="minorHAnsi" w:hAnsiTheme="minorHAnsi"/>
          <w:b/>
          <w:bCs/>
          <w:lang w:val="en-GB"/>
        </w:rPr>
      </w:pPr>
      <w:r w:rsidRPr="005C70A9">
        <w:rPr>
          <w:rFonts w:asciiTheme="minorHAnsi" w:hAnsiTheme="minorHAnsi"/>
          <w:b/>
          <w:bCs/>
          <w:lang w:val="en-GB"/>
        </w:rPr>
        <w:t xml:space="preserve">Vienna, </w:t>
      </w:r>
      <w:r w:rsidR="00E65997" w:rsidRPr="005C70A9">
        <w:rPr>
          <w:rFonts w:asciiTheme="minorHAnsi" w:hAnsiTheme="minorHAnsi"/>
          <w:b/>
          <w:bCs/>
          <w:lang w:val="en-GB"/>
        </w:rPr>
        <w:t>21–23 April 2026</w:t>
      </w:r>
    </w:p>
    <w:p w14:paraId="5401EB7B" w14:textId="77777777" w:rsidR="005C70A9" w:rsidRPr="005C70A9" w:rsidRDefault="005C70A9" w:rsidP="008C06A5">
      <w:pPr>
        <w:rPr>
          <w:b/>
          <w:bCs/>
          <w:lang w:val="en-US"/>
        </w:rPr>
      </w:pPr>
    </w:p>
    <w:p w14:paraId="380F3E82" w14:textId="3287306C" w:rsidR="005C70A9" w:rsidRPr="005C70A9" w:rsidRDefault="005C70A9" w:rsidP="008C06A5">
      <w:pPr>
        <w:rPr>
          <w:b/>
          <w:bCs/>
          <w:lang w:val="en-US"/>
        </w:rPr>
      </w:pPr>
      <w:r w:rsidRPr="005C70A9">
        <w:rPr>
          <w:b/>
          <w:bCs/>
          <w:lang w:val="en-US"/>
        </w:rPr>
        <w:t>Accommodation</w:t>
      </w:r>
    </w:p>
    <w:p w14:paraId="46D66180" w14:textId="11FC2E66" w:rsidR="008C06A5" w:rsidRPr="005C70A9" w:rsidRDefault="008C06A5" w:rsidP="008C06A5">
      <w:pPr>
        <w:rPr>
          <w:lang w:val="en-US"/>
        </w:rPr>
      </w:pPr>
      <w:r w:rsidRPr="005C70A9">
        <w:rPr>
          <w:lang w:val="en-US"/>
        </w:rPr>
        <w:t xml:space="preserve">The </w:t>
      </w:r>
      <w:r w:rsidR="005C70A9" w:rsidRPr="005C70A9">
        <w:rPr>
          <w:lang w:val="en-US"/>
        </w:rPr>
        <w:t>conference</w:t>
      </w:r>
      <w:r w:rsidRPr="005C70A9">
        <w:rPr>
          <w:lang w:val="en-US"/>
        </w:rPr>
        <w:t xml:space="preserve"> will take place </w:t>
      </w:r>
      <w:r w:rsidR="00E65997">
        <w:rPr>
          <w:lang w:val="en-US"/>
        </w:rPr>
        <w:t>on the 21</w:t>
      </w:r>
      <w:r w:rsidR="00E65997" w:rsidRPr="008F523E">
        <w:rPr>
          <w:vertAlign w:val="superscript"/>
          <w:lang w:val="en-US"/>
        </w:rPr>
        <w:t>st</w:t>
      </w:r>
      <w:r w:rsidR="00E65997">
        <w:rPr>
          <w:lang w:val="en-US"/>
        </w:rPr>
        <w:t xml:space="preserve"> to the 23</w:t>
      </w:r>
      <w:r w:rsidR="00E65997" w:rsidRPr="008F523E">
        <w:rPr>
          <w:vertAlign w:val="superscript"/>
          <w:lang w:val="en-US"/>
        </w:rPr>
        <w:t>rd</w:t>
      </w:r>
      <w:r w:rsidR="00E65997">
        <w:rPr>
          <w:lang w:val="en-US"/>
        </w:rPr>
        <w:t xml:space="preserve"> of April, 2026 </w:t>
      </w:r>
      <w:r w:rsidRPr="005C70A9">
        <w:rPr>
          <w:lang w:val="en-US"/>
        </w:rPr>
        <w:t xml:space="preserve">at BFW, </w:t>
      </w:r>
      <w:hyperlink r:id="rId4" w:history="1">
        <w:proofErr w:type="spellStart"/>
        <w:r w:rsidRPr="005C70A9">
          <w:rPr>
            <w:rStyle w:val="ac"/>
            <w:b/>
            <w:bCs/>
            <w:lang w:val="en-US"/>
          </w:rPr>
          <w:t>Seckendorff</w:t>
        </w:r>
        <w:proofErr w:type="spellEnd"/>
        <w:r w:rsidRPr="005C70A9">
          <w:rPr>
            <w:rStyle w:val="ac"/>
            <w:b/>
            <w:bCs/>
            <w:lang w:val="en-US"/>
          </w:rPr>
          <w:t>-</w:t>
        </w:r>
        <w:proofErr w:type="spellStart"/>
        <w:r w:rsidRPr="005C70A9">
          <w:rPr>
            <w:rStyle w:val="ac"/>
            <w:b/>
            <w:bCs/>
            <w:lang w:val="en-US"/>
          </w:rPr>
          <w:t>Gudent</w:t>
        </w:r>
        <w:proofErr w:type="spellEnd"/>
        <w:r w:rsidRPr="005C70A9">
          <w:rPr>
            <w:rStyle w:val="ac"/>
            <w:b/>
            <w:bCs/>
            <w:lang w:val="en-US"/>
          </w:rPr>
          <w:t>-Weg 8, 1131 Vienna</w:t>
        </w:r>
      </w:hyperlink>
      <w:r w:rsidRPr="005C70A9">
        <w:rPr>
          <w:lang w:val="en-US"/>
        </w:rPr>
        <w:t xml:space="preserve">, near the Palace of </w:t>
      </w:r>
      <w:proofErr w:type="spellStart"/>
      <w:r w:rsidRPr="005C70A9">
        <w:rPr>
          <w:lang w:val="en-US"/>
        </w:rPr>
        <w:t>Schönbrunn</w:t>
      </w:r>
      <w:proofErr w:type="spellEnd"/>
      <w:r w:rsidRPr="005C70A9">
        <w:rPr>
          <w:lang w:val="en-US"/>
        </w:rPr>
        <w:t xml:space="preserve">. Please make sure to book your accommodation </w:t>
      </w:r>
      <w:r w:rsidR="00E65997">
        <w:rPr>
          <w:lang w:val="en-US"/>
        </w:rPr>
        <w:t>in good time</w:t>
      </w:r>
      <w:r w:rsidRPr="005C70A9">
        <w:rPr>
          <w:lang w:val="en-US"/>
        </w:rPr>
        <w:t xml:space="preserve">, as </w:t>
      </w:r>
      <w:r w:rsidR="00E65997">
        <w:rPr>
          <w:lang w:val="en-US"/>
        </w:rPr>
        <w:t>hotels are busy</w:t>
      </w:r>
      <w:r w:rsidRPr="005C70A9">
        <w:rPr>
          <w:lang w:val="en-US"/>
        </w:rPr>
        <w:t xml:space="preserve"> at this time of the year. There are four hotels located within walking distance </w:t>
      </w:r>
      <w:r w:rsidR="00E65997">
        <w:rPr>
          <w:lang w:val="en-US"/>
        </w:rPr>
        <w:t>of</w:t>
      </w:r>
      <w:r w:rsidR="00E65997" w:rsidRPr="005C70A9">
        <w:rPr>
          <w:lang w:val="en-US"/>
        </w:rPr>
        <w:t xml:space="preserve"> </w:t>
      </w:r>
      <w:r w:rsidRPr="005C70A9">
        <w:rPr>
          <w:lang w:val="en-US"/>
        </w:rPr>
        <w:t xml:space="preserve">BWF: Austria Trend </w:t>
      </w:r>
      <w:proofErr w:type="spellStart"/>
      <w:r w:rsidRPr="005C70A9">
        <w:rPr>
          <w:lang w:val="en-US"/>
        </w:rPr>
        <w:t>Parkhotel</w:t>
      </w:r>
      <w:proofErr w:type="spellEnd"/>
      <w:r w:rsidRPr="005C70A9">
        <w:rPr>
          <w:lang w:val="en-US"/>
        </w:rPr>
        <w:t xml:space="preserve"> </w:t>
      </w:r>
      <w:proofErr w:type="spellStart"/>
      <w:r w:rsidRPr="005C70A9">
        <w:rPr>
          <w:lang w:val="en-US"/>
        </w:rPr>
        <w:t>Schönbrunn</w:t>
      </w:r>
      <w:proofErr w:type="spellEnd"/>
      <w:r w:rsidRPr="005C70A9">
        <w:rPr>
          <w:lang w:val="en-US"/>
        </w:rPr>
        <w:t xml:space="preserve">, Austria Trend Hotel Maximilian, Hotel </w:t>
      </w:r>
      <w:proofErr w:type="spellStart"/>
      <w:r w:rsidRPr="005C70A9">
        <w:rPr>
          <w:lang w:val="en-US"/>
        </w:rPr>
        <w:t>Bergwirt</w:t>
      </w:r>
      <w:proofErr w:type="spellEnd"/>
      <w:r w:rsidRPr="005C70A9">
        <w:rPr>
          <w:lang w:val="en-US"/>
        </w:rPr>
        <w:t>,</w:t>
      </w:r>
      <w:r w:rsidR="002C6D27" w:rsidRPr="005C70A9">
        <w:rPr>
          <w:lang w:val="en-US"/>
        </w:rPr>
        <w:t xml:space="preserve"> and Hotel Victoria</w:t>
      </w:r>
      <w:r w:rsidRPr="005C70A9">
        <w:rPr>
          <w:lang w:val="en-US"/>
        </w:rPr>
        <w:t xml:space="preserve">. </w:t>
      </w:r>
      <w:r w:rsidR="00E65997">
        <w:rPr>
          <w:lang w:val="en-US"/>
        </w:rPr>
        <w:t>There is also a wide selection of hotels in other areas of the city</w:t>
      </w:r>
      <w:r w:rsidR="006C71A0">
        <w:rPr>
          <w:lang w:val="en-US"/>
        </w:rPr>
        <w:t>,</w:t>
      </w:r>
      <w:r w:rsidR="00E65997">
        <w:rPr>
          <w:lang w:val="en-US"/>
        </w:rPr>
        <w:t xml:space="preserve"> and the excellent public transport system provides easy access to BFW.</w:t>
      </w:r>
      <w:r w:rsidRPr="005C70A9">
        <w:rPr>
          <w:lang w:val="en-US"/>
        </w:rPr>
        <w:t xml:space="preserve">  </w:t>
      </w:r>
    </w:p>
    <w:p w14:paraId="1A5899AB" w14:textId="77777777" w:rsidR="00575743" w:rsidRPr="005C70A9" w:rsidRDefault="00575743">
      <w:pPr>
        <w:rPr>
          <w:sz w:val="24"/>
          <w:szCs w:val="24"/>
          <w:lang w:val="en-US"/>
        </w:rPr>
      </w:pPr>
    </w:p>
    <w:p w14:paraId="37A21348" w14:textId="1B76E048" w:rsidR="002C6D27" w:rsidRPr="005C70A9" w:rsidRDefault="005C70A9" w:rsidP="005C70A9">
      <w:pPr>
        <w:ind w:right="-425"/>
        <w:rPr>
          <w:sz w:val="24"/>
          <w:szCs w:val="24"/>
          <w:lang w:val="en-US"/>
        </w:rPr>
      </w:pPr>
      <w:r w:rsidRPr="005C70A9">
        <w:rPr>
          <w:b/>
          <w:bCs/>
          <w:lang w:val="en-US"/>
        </w:rPr>
        <w:t xml:space="preserve">Austria Trend </w:t>
      </w:r>
      <w:proofErr w:type="spellStart"/>
      <w:r w:rsidRPr="005C70A9">
        <w:rPr>
          <w:b/>
          <w:bCs/>
          <w:lang w:val="en-US"/>
        </w:rPr>
        <w:t>Parkhotel</w:t>
      </w:r>
      <w:proofErr w:type="spellEnd"/>
      <w:r w:rsidRPr="005C70A9">
        <w:rPr>
          <w:b/>
          <w:bCs/>
          <w:lang w:val="en-US"/>
        </w:rPr>
        <w:t xml:space="preserve"> </w:t>
      </w:r>
      <w:proofErr w:type="spellStart"/>
      <w:r w:rsidRPr="005C70A9">
        <w:rPr>
          <w:b/>
          <w:bCs/>
          <w:lang w:val="en-US"/>
        </w:rPr>
        <w:t>Schönbrunn</w:t>
      </w:r>
      <w:proofErr w:type="spellEnd"/>
      <w:r w:rsidRPr="005C70A9">
        <w:rPr>
          <w:b/>
          <w:bCs/>
          <w:sz w:val="24"/>
          <w:szCs w:val="24"/>
          <w:lang w:val="en-US"/>
        </w:rPr>
        <w:t>:</w:t>
      </w:r>
      <w:r w:rsidRPr="005C70A9">
        <w:rPr>
          <w:sz w:val="24"/>
          <w:szCs w:val="24"/>
          <w:lang w:val="en-US"/>
        </w:rPr>
        <w:t xml:space="preserve"> </w:t>
      </w:r>
      <w:hyperlink r:id="rId5" w:history="1">
        <w:r w:rsidRPr="004934A6">
          <w:rPr>
            <w:rStyle w:val="ac"/>
            <w:sz w:val="24"/>
            <w:szCs w:val="24"/>
            <w:lang w:val="en-US"/>
          </w:rPr>
          <w:t>https://www.austria-trend.at/de/hotels/parkhotel-schoenbrunn</w:t>
        </w:r>
      </w:hyperlink>
      <w:r w:rsidR="002C6D27" w:rsidRPr="005C70A9">
        <w:rPr>
          <w:sz w:val="24"/>
          <w:szCs w:val="24"/>
          <w:lang w:val="en-US"/>
        </w:rPr>
        <w:t xml:space="preserve"> </w:t>
      </w:r>
    </w:p>
    <w:p w14:paraId="454198C3" w14:textId="5B5F43CC" w:rsidR="002C6D27" w:rsidRPr="005C70A9" w:rsidRDefault="005C70A9" w:rsidP="005C70A9">
      <w:pPr>
        <w:ind w:right="-425"/>
        <w:rPr>
          <w:sz w:val="24"/>
          <w:szCs w:val="24"/>
          <w:lang w:val="en-US"/>
        </w:rPr>
      </w:pPr>
      <w:r w:rsidRPr="005C70A9">
        <w:rPr>
          <w:b/>
          <w:bCs/>
          <w:lang w:val="en-US"/>
        </w:rPr>
        <w:t>Austria Trend Hotel Maximilian:</w:t>
      </w:r>
      <w:r w:rsidRPr="005C70A9">
        <w:rPr>
          <w:sz w:val="24"/>
          <w:szCs w:val="24"/>
          <w:lang w:val="en-US"/>
        </w:rPr>
        <w:t xml:space="preserve"> </w:t>
      </w:r>
      <w:hyperlink r:id="rId6" w:history="1">
        <w:r w:rsidR="002C6D27" w:rsidRPr="005C70A9">
          <w:rPr>
            <w:rStyle w:val="ac"/>
            <w:sz w:val="24"/>
            <w:szCs w:val="24"/>
            <w:lang w:val="en-US"/>
          </w:rPr>
          <w:t>https://www.austria-trend.at/de/hotels/maximilian</w:t>
        </w:r>
      </w:hyperlink>
      <w:r w:rsidR="002C6D27" w:rsidRPr="005C70A9">
        <w:rPr>
          <w:sz w:val="24"/>
          <w:szCs w:val="24"/>
          <w:lang w:val="en-US"/>
        </w:rPr>
        <w:t xml:space="preserve"> </w:t>
      </w:r>
    </w:p>
    <w:p w14:paraId="6A1736BF" w14:textId="520D8936" w:rsidR="002C6D27" w:rsidRPr="005C70A9" w:rsidRDefault="005C70A9" w:rsidP="005C70A9">
      <w:pPr>
        <w:ind w:right="-425"/>
        <w:rPr>
          <w:sz w:val="24"/>
          <w:szCs w:val="24"/>
          <w:lang w:val="de-DE"/>
        </w:rPr>
      </w:pPr>
      <w:r w:rsidRPr="005C70A9">
        <w:rPr>
          <w:b/>
          <w:bCs/>
          <w:lang w:val="de-DE"/>
        </w:rPr>
        <w:t>Hotel Bergwirt:</w:t>
      </w:r>
      <w:r w:rsidRPr="005C70A9">
        <w:rPr>
          <w:sz w:val="24"/>
          <w:szCs w:val="24"/>
        </w:rPr>
        <w:t xml:space="preserve"> </w:t>
      </w:r>
      <w:hyperlink r:id="rId7" w:history="1">
        <w:r w:rsidR="002C6D27" w:rsidRPr="005C70A9">
          <w:rPr>
            <w:rStyle w:val="ac"/>
            <w:sz w:val="24"/>
            <w:szCs w:val="24"/>
            <w:lang w:val="de-DE"/>
          </w:rPr>
          <w:t>https://www.hotelbergwirt.at/</w:t>
        </w:r>
      </w:hyperlink>
      <w:r w:rsidR="002C6D27" w:rsidRPr="005C70A9">
        <w:rPr>
          <w:sz w:val="24"/>
          <w:szCs w:val="24"/>
          <w:lang w:val="de-DE"/>
        </w:rPr>
        <w:t xml:space="preserve"> </w:t>
      </w:r>
    </w:p>
    <w:p w14:paraId="501BAB72" w14:textId="1651A388" w:rsidR="002C6D27" w:rsidRPr="005C70A9" w:rsidRDefault="005C70A9" w:rsidP="005C70A9">
      <w:pPr>
        <w:ind w:right="-425"/>
        <w:rPr>
          <w:sz w:val="24"/>
          <w:szCs w:val="24"/>
          <w:lang w:val="en-US"/>
        </w:rPr>
      </w:pPr>
      <w:r w:rsidRPr="005C70A9">
        <w:rPr>
          <w:b/>
          <w:bCs/>
          <w:lang w:val="en-US"/>
        </w:rPr>
        <w:t>Hotel Victoria:</w:t>
      </w:r>
      <w:r w:rsidRPr="005C70A9">
        <w:rPr>
          <w:sz w:val="24"/>
          <w:szCs w:val="24"/>
          <w:lang w:val="en-US"/>
        </w:rPr>
        <w:t xml:space="preserve"> </w:t>
      </w:r>
      <w:hyperlink r:id="rId8" w:history="1">
        <w:r w:rsidR="002C6D27" w:rsidRPr="005C70A9">
          <w:rPr>
            <w:rStyle w:val="ac"/>
            <w:sz w:val="24"/>
            <w:szCs w:val="24"/>
            <w:lang w:val="en-US"/>
          </w:rPr>
          <w:t>https://www.hotelviktoria.co.at/</w:t>
        </w:r>
      </w:hyperlink>
      <w:r w:rsidR="002C6D27" w:rsidRPr="005C70A9">
        <w:rPr>
          <w:sz w:val="24"/>
          <w:szCs w:val="24"/>
          <w:lang w:val="en-US"/>
        </w:rPr>
        <w:t xml:space="preserve"> </w:t>
      </w:r>
    </w:p>
    <w:p w14:paraId="2202946D" w14:textId="77777777" w:rsidR="002C6D27" w:rsidRDefault="002C6D27">
      <w:pPr>
        <w:rPr>
          <w:sz w:val="24"/>
          <w:szCs w:val="24"/>
          <w:lang w:val="en-US"/>
        </w:rPr>
      </w:pPr>
    </w:p>
    <w:p w14:paraId="0A64090F" w14:textId="77777777" w:rsidR="005C70A9" w:rsidRDefault="005C70A9">
      <w:pPr>
        <w:rPr>
          <w:sz w:val="24"/>
          <w:szCs w:val="24"/>
          <w:lang w:val="en-US"/>
        </w:rPr>
      </w:pPr>
    </w:p>
    <w:p w14:paraId="62278BDA" w14:textId="6C638A16" w:rsidR="005C70A9" w:rsidRDefault="005C70A9" w:rsidP="005C70A9">
      <w:pPr>
        <w:jc w:val="center"/>
        <w:rPr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6FC904CA" wp14:editId="03BEF46D">
            <wp:extent cx="5400000" cy="3689288"/>
            <wp:effectExtent l="0" t="0" r="0" b="6985"/>
            <wp:docPr id="134919661" name="Рисунок 1" descr="Schönbrunn Palac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önbrunn Palace - Wikip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689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22E67" w14:textId="1009D7AC" w:rsidR="005C70A9" w:rsidRPr="005C70A9" w:rsidRDefault="005C70A9" w:rsidP="005C70A9">
      <w:pPr>
        <w:jc w:val="center"/>
        <w:rPr>
          <w:lang w:val="en-US"/>
        </w:rPr>
      </w:pPr>
      <w:r w:rsidRPr="005C70A9">
        <w:rPr>
          <w:lang w:val="en-US"/>
        </w:rPr>
        <w:t xml:space="preserve">South view of the </w:t>
      </w:r>
      <w:proofErr w:type="spellStart"/>
      <w:r w:rsidRPr="005C70A9">
        <w:rPr>
          <w:lang w:val="en-US"/>
        </w:rPr>
        <w:t>Schönbrunn</w:t>
      </w:r>
      <w:proofErr w:type="spellEnd"/>
      <w:r w:rsidRPr="005C70A9">
        <w:rPr>
          <w:lang w:val="en-US"/>
        </w:rPr>
        <w:t xml:space="preserve"> Palace and park © </w:t>
      </w:r>
      <w:proofErr w:type="spellStart"/>
      <w:r w:rsidRPr="005C70A9">
        <w:rPr>
          <w:lang w:val="en-US"/>
        </w:rPr>
        <w:t>C.Stadler</w:t>
      </w:r>
      <w:proofErr w:type="spellEnd"/>
      <w:r w:rsidRPr="005C70A9">
        <w:rPr>
          <w:lang w:val="en-US"/>
        </w:rPr>
        <w:t>/</w:t>
      </w:r>
      <w:proofErr w:type="spellStart"/>
      <w:r w:rsidRPr="005C70A9">
        <w:rPr>
          <w:lang w:val="en-US"/>
        </w:rPr>
        <w:t>Bwag</w:t>
      </w:r>
      <w:proofErr w:type="spellEnd"/>
      <w:r w:rsidRPr="005C70A9">
        <w:rPr>
          <w:lang w:val="en-US"/>
        </w:rPr>
        <w:t>; CC-BY-SA-4.0</w:t>
      </w:r>
    </w:p>
    <w:sectPr w:rsidR="005C70A9" w:rsidRPr="005C70A9" w:rsidSect="005C70A9"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A5"/>
    <w:rsid w:val="000E5DD7"/>
    <w:rsid w:val="00215360"/>
    <w:rsid w:val="002B22C3"/>
    <w:rsid w:val="002C6D27"/>
    <w:rsid w:val="00575743"/>
    <w:rsid w:val="00587DB9"/>
    <w:rsid w:val="005C70A9"/>
    <w:rsid w:val="006C71A0"/>
    <w:rsid w:val="007E45C8"/>
    <w:rsid w:val="008C06A5"/>
    <w:rsid w:val="008F523E"/>
    <w:rsid w:val="00B579B4"/>
    <w:rsid w:val="00E6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AC9A"/>
  <w15:chartTrackingRefBased/>
  <w15:docId w15:val="{59920030-B00E-4FDE-9B4D-F8C12CBA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6A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C0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6A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6A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6A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06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06A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06A5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06A5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06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06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06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06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0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C0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6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0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0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06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06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06A5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06A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06A5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sid w:val="008C06A5"/>
    <w:rPr>
      <w:b/>
      <w:bCs/>
      <w:smallCaps/>
      <w:color w:val="365F9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C6D27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C6D27"/>
    <w:rPr>
      <w:color w:val="605E5C"/>
      <w:shd w:val="clear" w:color="auto" w:fill="E1DFDD"/>
    </w:rPr>
  </w:style>
  <w:style w:type="paragraph" w:customStyle="1" w:styleId="Default">
    <w:name w:val="Default"/>
    <w:rsid w:val="005C70A9"/>
    <w:pPr>
      <w:autoSpaceDE w:val="0"/>
      <w:autoSpaceDN w:val="0"/>
      <w:adjustRightInd w:val="0"/>
    </w:pPr>
    <w:rPr>
      <w:rFonts w:ascii="Georgia" w:hAnsi="Georgia" w:cs="Georgia"/>
      <w:color w:val="000000"/>
      <w:kern w:val="0"/>
      <w:sz w:val="24"/>
      <w:szCs w:val="24"/>
      <w14:ligatures w14:val="none"/>
    </w:rPr>
  </w:style>
  <w:style w:type="character" w:styleId="ae">
    <w:name w:val="annotation reference"/>
    <w:basedOn w:val="a0"/>
    <w:uiPriority w:val="99"/>
    <w:semiHidden/>
    <w:unhideWhenUsed/>
    <w:rsid w:val="00E6599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6599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6599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599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65997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E65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telviktoria.co.a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otelbergwirt.a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ustria-trend.at/de/hotels/maximilia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ustria-trend.at/de/hotels/parkhotel-schoenbrun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oogle.com/maps/dir/Seckendorff-Gudent-Weg%208,%201131%20Vienna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Hoch Gernot</dc:creator>
  <cp:keywords/>
  <dc:description/>
  <cp:lastModifiedBy>Дмитрий Мусолин</cp:lastModifiedBy>
  <cp:revision>3</cp:revision>
  <dcterms:created xsi:type="dcterms:W3CDTF">2025-08-08T08:36:00Z</dcterms:created>
  <dcterms:modified xsi:type="dcterms:W3CDTF">2025-08-08T15:15:00Z</dcterms:modified>
</cp:coreProperties>
</file>